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77" w:rsidRDefault="00B54B77" w:rsidP="00B54B77">
      <w:pPr>
        <w:shd w:val="clear" w:color="auto" w:fill="FFFFFF"/>
        <w:spacing w:before="120"/>
        <w:jc w:val="center"/>
        <w:rPr>
          <w:rFonts w:cstheme="minorHAnsi"/>
          <w:b/>
          <w:bCs/>
          <w:w w:val="95"/>
          <w:sz w:val="28"/>
          <w:szCs w:val="28"/>
        </w:rPr>
      </w:pPr>
      <w:r>
        <w:rPr>
          <w:rFonts w:cstheme="minorHAnsi"/>
          <w:b/>
          <w:bCs/>
          <w:w w:val="95"/>
          <w:sz w:val="28"/>
          <w:szCs w:val="28"/>
        </w:rPr>
        <w:t>DR 3</w:t>
      </w:r>
    </w:p>
    <w:p w:rsidR="000C6959" w:rsidRDefault="000C6959" w:rsidP="000C6959">
      <w:pPr>
        <w:shd w:val="clear" w:color="auto" w:fill="FFFFFF"/>
        <w:spacing w:before="120"/>
        <w:jc w:val="both"/>
        <w:rPr>
          <w:rFonts w:cstheme="minorHAnsi"/>
          <w:b/>
          <w:bCs/>
          <w:w w:val="95"/>
          <w:sz w:val="28"/>
          <w:szCs w:val="28"/>
        </w:rPr>
      </w:pPr>
      <w:r w:rsidRPr="00AD145A">
        <w:rPr>
          <w:rFonts w:cstheme="minorHAnsi"/>
          <w:b/>
          <w:bCs/>
          <w:w w:val="95"/>
          <w:sz w:val="28"/>
          <w:szCs w:val="28"/>
        </w:rPr>
        <w:t>DECLARACIÓN DE COMPROMISO A LA CESIÓN Y TRATAMIENTO DE DATOS EN RELACIÓN CON LA EJECUCIÓN DE ACTUACIONES DEL PLAN DE RECUPERACIÓN, TRANSFORMACIÓN Y RESILIENCIA (PRTR)</w:t>
      </w:r>
      <w:r w:rsidR="00B54B77">
        <w:rPr>
          <w:rFonts w:cstheme="minorHAnsi"/>
          <w:b/>
          <w:bCs/>
          <w:w w:val="95"/>
          <w:sz w:val="28"/>
          <w:szCs w:val="28"/>
        </w:rPr>
        <w:t xml:space="preserve"> </w:t>
      </w:r>
    </w:p>
    <w:p w:rsidR="00AD145A" w:rsidRDefault="00AD145A" w:rsidP="00AD145A">
      <w:pPr>
        <w:jc w:val="both"/>
        <w:rPr>
          <w:rFonts w:cstheme="minorHAnsi"/>
          <w:b/>
        </w:rPr>
      </w:pPr>
      <w:proofErr w:type="gramStart"/>
      <w:r w:rsidRPr="005C79D0">
        <w:rPr>
          <w:rFonts w:cstheme="minorHAnsi"/>
          <w:b/>
        </w:rPr>
        <w:t>D./</w:t>
      </w:r>
      <w:proofErr w:type="gramEnd"/>
      <w:r w:rsidRPr="005C79D0">
        <w:rPr>
          <w:rFonts w:cstheme="minorHAnsi"/>
          <w:b/>
        </w:rPr>
        <w:t xml:space="preserve">Dª………………………………..…………….. con N.I.F ………….., en calidad de representante legal de la Entidad ………………………….… con C.I.F……………………..….., y domicilio a efectos de notificación en …………………………………..………, municipio de …………………….…., código postal …………….. </w:t>
      </w:r>
    </w:p>
    <w:p w:rsidR="00E05D80" w:rsidRDefault="00E05D80" w:rsidP="00AD145A">
      <w:pPr>
        <w:jc w:val="both"/>
        <w:rPr>
          <w:rFonts w:cstheme="minorHAnsi"/>
          <w:b/>
        </w:rPr>
      </w:pPr>
      <w:r>
        <w:rPr>
          <w:rFonts w:cstheme="minorHAnsi"/>
          <w:b/>
        </w:rPr>
        <w:t>Entidad:</w:t>
      </w:r>
    </w:p>
    <w:p w:rsidR="00E05D80" w:rsidRDefault="00E05D80" w:rsidP="00AD145A">
      <w:pPr>
        <w:jc w:val="both"/>
        <w:rPr>
          <w:rFonts w:cstheme="minorHAnsi"/>
          <w:b/>
        </w:rPr>
      </w:pPr>
      <w:r>
        <w:rPr>
          <w:rFonts w:cstheme="minorHAnsi"/>
          <w:b/>
        </w:rPr>
        <w:t>Proyecto:</w:t>
      </w:r>
    </w:p>
    <w:p w:rsidR="00E05D80" w:rsidRPr="005C79D0" w:rsidRDefault="00E05D80" w:rsidP="00AD145A">
      <w:pPr>
        <w:jc w:val="both"/>
        <w:rPr>
          <w:rFonts w:cstheme="minorHAnsi"/>
          <w:b/>
        </w:rPr>
      </w:pPr>
    </w:p>
    <w:p w:rsidR="00AD145A" w:rsidRPr="00446ABC" w:rsidRDefault="00446ABC" w:rsidP="000C6959">
      <w:pPr>
        <w:shd w:val="clear" w:color="auto" w:fill="FFFFFF"/>
        <w:spacing w:before="120"/>
        <w:jc w:val="both"/>
        <w:rPr>
          <w:rFonts w:cstheme="minorHAnsi"/>
          <w:b/>
          <w:bCs/>
          <w:w w:val="95"/>
          <w:sz w:val="24"/>
          <w:szCs w:val="24"/>
        </w:rPr>
      </w:pPr>
      <w:r>
        <w:rPr>
          <w:rFonts w:cstheme="minorHAnsi"/>
          <w:b/>
          <w:bCs/>
          <w:w w:val="95"/>
          <w:sz w:val="24"/>
          <w:szCs w:val="24"/>
        </w:rPr>
        <w:t>DECLARA:</w:t>
      </w:r>
    </w:p>
    <w:p w:rsidR="000C6959" w:rsidRPr="000C6959" w:rsidRDefault="000C6959" w:rsidP="000C6959">
      <w:pPr>
        <w:widowControl w:val="0"/>
        <w:autoSpaceDE w:val="0"/>
        <w:autoSpaceDN w:val="0"/>
        <w:spacing w:before="211"/>
        <w:ind w:right="521"/>
        <w:jc w:val="both"/>
        <w:rPr>
          <w:rFonts w:eastAsia="Verdana" w:cstheme="minorHAnsi"/>
          <w:sz w:val="24"/>
          <w:szCs w:val="24"/>
        </w:rPr>
      </w:pPr>
      <w:r w:rsidRPr="000C6959">
        <w:rPr>
          <w:rFonts w:cstheme="minorHAnsi"/>
          <w:w w:val="95"/>
          <w:sz w:val="24"/>
          <w:szCs w:val="24"/>
        </w:rPr>
        <w:t xml:space="preserve">La entidad solicitante </w:t>
      </w:r>
      <w:r w:rsidRPr="000C6959">
        <w:rPr>
          <w:rFonts w:eastAsia="Verdana" w:cstheme="minorHAnsi"/>
          <w:color w:val="302C2D"/>
          <w:sz w:val="24"/>
          <w:szCs w:val="24"/>
        </w:rPr>
        <w:t>declara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conocer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normativa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que es de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aplicación, en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particular los</w:t>
      </w:r>
      <w:r w:rsidRPr="000C6959">
        <w:rPr>
          <w:rFonts w:eastAsia="Verdana" w:cstheme="minorHAnsi"/>
          <w:color w:val="302C2D"/>
          <w:spacing w:val="-6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siguientes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apartados</w:t>
      </w:r>
      <w:r w:rsidRPr="000C6959">
        <w:rPr>
          <w:rFonts w:eastAsia="Verdana" w:cstheme="minorHAnsi"/>
          <w:color w:val="302C2D"/>
          <w:spacing w:val="-6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artículo</w:t>
      </w:r>
      <w:r w:rsidRPr="000C6959">
        <w:rPr>
          <w:rFonts w:eastAsia="Verdana" w:cstheme="minorHAnsi"/>
          <w:color w:val="302C2D"/>
          <w:spacing w:val="-6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22,</w:t>
      </w:r>
      <w:r w:rsidRPr="000C6959">
        <w:rPr>
          <w:rFonts w:eastAsia="Verdana" w:cstheme="minorHAnsi"/>
          <w:color w:val="302C2D"/>
          <w:spacing w:val="-6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Reglamento</w:t>
      </w:r>
      <w:r w:rsidRPr="000C6959">
        <w:rPr>
          <w:rFonts w:eastAsia="Verdana" w:cstheme="minorHAnsi"/>
          <w:color w:val="302C2D"/>
          <w:spacing w:val="-6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(UE)</w:t>
      </w:r>
      <w:r w:rsidRPr="000C6959">
        <w:rPr>
          <w:rFonts w:eastAsia="Verdana" w:cstheme="minorHAnsi"/>
          <w:color w:val="302C2D"/>
          <w:spacing w:val="-6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2021/241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6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Parlamento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Europeo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y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Consejo,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12 de febrero de 2021, por el que se establece el Mecanismo de Recuperación y Resiliencia:</w:t>
      </w:r>
    </w:p>
    <w:p w:rsidR="000C6959" w:rsidRPr="000C6959" w:rsidRDefault="000C6959" w:rsidP="000C6959">
      <w:pPr>
        <w:widowControl w:val="0"/>
        <w:numPr>
          <w:ilvl w:val="0"/>
          <w:numId w:val="2"/>
        </w:numPr>
        <w:tabs>
          <w:tab w:val="left" w:pos="1379"/>
        </w:tabs>
        <w:autoSpaceDE w:val="0"/>
        <w:autoSpaceDN w:val="0"/>
        <w:spacing w:before="159" w:after="0" w:line="240" w:lineRule="auto"/>
        <w:ind w:left="0" w:right="525" w:firstLine="566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50"/>
        </w:tabs>
        <w:autoSpaceDE w:val="0"/>
        <w:autoSpaceDN w:val="0"/>
        <w:spacing w:after="0" w:line="240" w:lineRule="auto"/>
        <w:ind w:left="720"/>
        <w:jc w:val="both"/>
        <w:rPr>
          <w:rFonts w:eastAsia="Verdana" w:cstheme="minorHAnsi"/>
          <w:sz w:val="24"/>
          <w:szCs w:val="24"/>
        </w:rPr>
      </w:pPr>
      <w:bookmarkStart w:id="0" w:name="_GoBack"/>
      <w:bookmarkEnd w:id="0"/>
      <w:r w:rsidRPr="000C6959">
        <w:rPr>
          <w:rFonts w:eastAsia="Verdana" w:cstheme="minorHAnsi"/>
          <w:color w:val="302C2D"/>
          <w:sz w:val="24"/>
          <w:szCs w:val="24"/>
        </w:rPr>
        <w:t>El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nombre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perceptor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final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pacing w:val="-2"/>
          <w:sz w:val="24"/>
          <w:szCs w:val="24"/>
        </w:rPr>
        <w:t>fondos.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49"/>
          <w:tab w:val="left" w:pos="1351"/>
        </w:tabs>
        <w:autoSpaceDE w:val="0"/>
        <w:autoSpaceDN w:val="0"/>
        <w:spacing w:before="21" w:after="0" w:line="254" w:lineRule="auto"/>
        <w:ind w:left="721" w:right="530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49"/>
          <w:tab w:val="left" w:pos="1351"/>
        </w:tabs>
        <w:autoSpaceDE w:val="0"/>
        <w:autoSpaceDN w:val="0"/>
        <w:spacing w:before="30" w:after="0" w:line="266" w:lineRule="auto"/>
        <w:ind w:left="721" w:right="525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los nombres, apellidos y fechas de nacimiento de los titulares reales del perceptor de los fondos o del contratista,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según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se define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en el artículo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3, punto 6,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 la Directiva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(UE) 2015/849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Parlamento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Europeo y del Consejo (26);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49"/>
          <w:tab w:val="left" w:pos="1351"/>
        </w:tabs>
        <w:autoSpaceDE w:val="0"/>
        <w:autoSpaceDN w:val="0"/>
        <w:spacing w:before="17" w:after="0" w:line="266" w:lineRule="auto"/>
        <w:ind w:left="721" w:right="523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una lista de medidas para la ejecución de reformas y proyectos de inversión en el marco del plan de recuperación y resiliencia, junto con el importe total de la financiación pública de dichas medidas y que indique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cuantía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fondos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desembolsados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marco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 Mecanismo y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otros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fondos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Unión».</w:t>
      </w:r>
    </w:p>
    <w:p w:rsidR="000C6959" w:rsidRPr="000C6959" w:rsidRDefault="000C6959" w:rsidP="000C6959">
      <w:pPr>
        <w:widowControl w:val="0"/>
        <w:autoSpaceDE w:val="0"/>
        <w:autoSpaceDN w:val="0"/>
        <w:spacing w:before="191" w:after="0" w:line="240" w:lineRule="auto"/>
        <w:rPr>
          <w:rFonts w:eastAsia="Verdana" w:cstheme="minorHAnsi"/>
          <w:sz w:val="24"/>
          <w:szCs w:val="24"/>
        </w:rPr>
      </w:pPr>
    </w:p>
    <w:p w:rsidR="000C6959" w:rsidRPr="000C6959" w:rsidRDefault="000C6959" w:rsidP="000C6959">
      <w:pPr>
        <w:widowControl w:val="0"/>
        <w:numPr>
          <w:ilvl w:val="0"/>
          <w:numId w:val="2"/>
        </w:numPr>
        <w:tabs>
          <w:tab w:val="left" w:pos="1369"/>
        </w:tabs>
        <w:autoSpaceDE w:val="0"/>
        <w:autoSpaceDN w:val="0"/>
        <w:spacing w:before="1" w:after="0" w:line="240" w:lineRule="auto"/>
        <w:ind w:left="0" w:right="522" w:firstLine="566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Apartado 3: «Los datos personales mencionados en el apartado 2, letra d), del presente artículo solo serán tratados por los Estados miembros y por la Comisión a los efectos y duración de la correspondiente auditoría de la aprobación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gestión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presupuestaria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y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procedimientos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control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relacionados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utilización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fondos relacionados con la aplicación de los acuerdos a que se refieren los artículos 15, apartado 2, y 23, apartado 1. En el marco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procedimiento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aprobación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gestión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Comisión,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conformidad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el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artículo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319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TFUE,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0C6959" w:rsidRPr="000C6959" w:rsidRDefault="000C6959" w:rsidP="000C6959">
      <w:pPr>
        <w:widowControl w:val="0"/>
        <w:autoSpaceDE w:val="0"/>
        <w:autoSpaceDN w:val="0"/>
        <w:spacing w:before="84" w:after="0" w:line="240" w:lineRule="auto"/>
        <w:rPr>
          <w:rFonts w:eastAsia="Verdana" w:cstheme="minorHAnsi"/>
          <w:sz w:val="24"/>
          <w:szCs w:val="24"/>
        </w:rPr>
      </w:pPr>
    </w:p>
    <w:p w:rsidR="000C6959" w:rsidRP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Conforme al marco jurídico expuesto, manifiesta acceder a la cesión y tratamiento de los datos con los fines expresamente relacionados en los artículos citados.</w:t>
      </w:r>
    </w:p>
    <w:p w:rsidR="000C6959" w:rsidRP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BB1161" w:rsidRPr="00467E76" w:rsidRDefault="00BB1161" w:rsidP="00BB1161">
      <w:pPr>
        <w:jc w:val="center"/>
        <w:rPr>
          <w:b/>
          <w:sz w:val="24"/>
          <w:szCs w:val="24"/>
        </w:rPr>
      </w:pPr>
      <w:r>
        <w:t>(Documento fechado y firmado electrónicamente al margen)</w:t>
      </w:r>
    </w:p>
    <w:p w:rsidR="00115DAC" w:rsidRDefault="00115DAC" w:rsidP="00115DAC">
      <w:pPr>
        <w:jc w:val="center"/>
      </w:pPr>
      <w:r>
        <w:t>EL ALCALDE O PERSONA EN QUIEN DELEGUE/REPRESENTANTE LEGAL DE LA ENTIDAD</w:t>
      </w:r>
    </w:p>
    <w:p w:rsidR="00BB1161" w:rsidRDefault="00BB1161" w:rsidP="00BB1161">
      <w:pPr>
        <w:widowControl w:val="0"/>
        <w:autoSpaceDE w:val="0"/>
        <w:autoSpaceDN w:val="0"/>
        <w:spacing w:after="0"/>
        <w:ind w:left="1" w:right="526"/>
        <w:jc w:val="center"/>
        <w:rPr>
          <w:rFonts w:eastAsia="Verdana" w:cstheme="minorHAnsi"/>
          <w:color w:val="302C2D"/>
          <w:sz w:val="24"/>
          <w:szCs w:val="24"/>
        </w:rPr>
      </w:pPr>
    </w:p>
    <w:sectPr w:rsidR="00BB1161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1A49563E" wp14:editId="0A7E5A93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C6959"/>
    <w:rsid w:val="000D386B"/>
    <w:rsid w:val="00115DAC"/>
    <w:rsid w:val="00191938"/>
    <w:rsid w:val="00252AC5"/>
    <w:rsid w:val="00276CD3"/>
    <w:rsid w:val="00296B34"/>
    <w:rsid w:val="002A53CA"/>
    <w:rsid w:val="002F09B8"/>
    <w:rsid w:val="003133E3"/>
    <w:rsid w:val="00344AF1"/>
    <w:rsid w:val="00395BD4"/>
    <w:rsid w:val="004316FE"/>
    <w:rsid w:val="004370A7"/>
    <w:rsid w:val="00446ABC"/>
    <w:rsid w:val="004A0D99"/>
    <w:rsid w:val="004E4847"/>
    <w:rsid w:val="004F2574"/>
    <w:rsid w:val="00561232"/>
    <w:rsid w:val="006D6980"/>
    <w:rsid w:val="00711217"/>
    <w:rsid w:val="007F2822"/>
    <w:rsid w:val="007F77DB"/>
    <w:rsid w:val="00886503"/>
    <w:rsid w:val="008A22D3"/>
    <w:rsid w:val="008F7A8C"/>
    <w:rsid w:val="00945EA8"/>
    <w:rsid w:val="009F2D77"/>
    <w:rsid w:val="00A13CA2"/>
    <w:rsid w:val="00A90906"/>
    <w:rsid w:val="00AC7A04"/>
    <w:rsid w:val="00AD145A"/>
    <w:rsid w:val="00B015B0"/>
    <w:rsid w:val="00B54B77"/>
    <w:rsid w:val="00BA3241"/>
    <w:rsid w:val="00BB1161"/>
    <w:rsid w:val="00C025A3"/>
    <w:rsid w:val="00CB680F"/>
    <w:rsid w:val="00D07E69"/>
    <w:rsid w:val="00D57935"/>
    <w:rsid w:val="00D57BEA"/>
    <w:rsid w:val="00DC5289"/>
    <w:rsid w:val="00DD60B8"/>
    <w:rsid w:val="00DF1ACE"/>
    <w:rsid w:val="00E05D80"/>
    <w:rsid w:val="00E16977"/>
    <w:rsid w:val="00E84C70"/>
    <w:rsid w:val="00E95147"/>
    <w:rsid w:val="00F7088C"/>
    <w:rsid w:val="00F7560E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4B2C-2B74-4358-863B-82317303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2</cp:revision>
  <dcterms:created xsi:type="dcterms:W3CDTF">2025-05-14T09:59:00Z</dcterms:created>
  <dcterms:modified xsi:type="dcterms:W3CDTF">2025-05-14T09:59:00Z</dcterms:modified>
</cp:coreProperties>
</file>